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A" w:rsidRDefault="002C04CA" w:rsidP="002C04CA">
      <w:pPr>
        <w:pStyle w:val="Akapitzlist"/>
        <w:jc w:val="center"/>
        <w:rPr>
          <w:b/>
          <w:sz w:val="32"/>
          <w:szCs w:val="32"/>
        </w:rPr>
      </w:pPr>
      <w:r>
        <w:rPr>
          <w:b/>
          <w:sz w:val="32"/>
          <w:szCs w:val="32"/>
        </w:rPr>
        <w:t>Zmiany wersja</w:t>
      </w:r>
      <w:r w:rsidR="00D8200B">
        <w:rPr>
          <w:b/>
          <w:sz w:val="32"/>
          <w:szCs w:val="32"/>
        </w:rPr>
        <w:t xml:space="preserve"> </w:t>
      </w:r>
      <w:r w:rsidR="00870CFA">
        <w:rPr>
          <w:b/>
          <w:sz w:val="32"/>
          <w:szCs w:val="32"/>
        </w:rPr>
        <w:t>4.17</w:t>
      </w:r>
      <w:r w:rsidR="0024450E">
        <w:rPr>
          <w:b/>
          <w:sz w:val="32"/>
          <w:szCs w:val="32"/>
        </w:rPr>
        <w:t>E</w:t>
      </w:r>
    </w:p>
    <w:p w:rsidR="006D362C" w:rsidRDefault="006D362C" w:rsidP="002C04CA">
      <w:pPr>
        <w:pStyle w:val="Akapitzlist"/>
        <w:jc w:val="center"/>
        <w:rPr>
          <w:b/>
          <w:sz w:val="32"/>
          <w:szCs w:val="32"/>
        </w:rPr>
      </w:pPr>
    </w:p>
    <w:p w:rsidR="00941E55" w:rsidRDefault="00941E55" w:rsidP="00941E55">
      <w:pPr>
        <w:pStyle w:val="Akapitzlist"/>
        <w:numPr>
          <w:ilvl w:val="0"/>
          <w:numId w:val="36"/>
        </w:numPr>
        <w:rPr>
          <w:sz w:val="24"/>
          <w:szCs w:val="24"/>
        </w:rPr>
      </w:pPr>
      <w:r>
        <w:rPr>
          <w:sz w:val="24"/>
          <w:szCs w:val="24"/>
        </w:rPr>
        <w:t>Zmiana w oknie nowa umowa. Na etapie tworzenia nowej umowy dodano pole Data podpisania umowy. Dzięki przeniesieniu daty podpisania umowy na ekran nowej umowy system pobiera prawidłowy kurs EURO do pomocy publicznej już na etapie umowy. Uprzednio datę tą można było ustawić dopiero na etapie wypłaty pożyczk</w:t>
      </w:r>
      <w:r w:rsidR="006D362C">
        <w:rPr>
          <w:sz w:val="24"/>
          <w:szCs w:val="24"/>
        </w:rPr>
        <w:t>.</w:t>
      </w:r>
    </w:p>
    <w:p w:rsidR="00941E55" w:rsidRPr="00941E55" w:rsidRDefault="00941E55" w:rsidP="00941E55">
      <w:pPr>
        <w:pStyle w:val="Akapitzlist"/>
        <w:numPr>
          <w:ilvl w:val="0"/>
          <w:numId w:val="36"/>
        </w:numPr>
        <w:rPr>
          <w:sz w:val="24"/>
          <w:szCs w:val="24"/>
        </w:rPr>
      </w:pPr>
      <w:r>
        <w:rPr>
          <w:noProof/>
          <w:sz w:val="24"/>
          <w:szCs w:val="24"/>
          <w:lang w:eastAsia="pl-PL"/>
        </w:rPr>
        <w:drawing>
          <wp:inline distT="0" distB="0" distL="0" distR="0">
            <wp:extent cx="57626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495425"/>
                    </a:xfrm>
                    <a:prstGeom prst="rect">
                      <a:avLst/>
                    </a:prstGeom>
                    <a:noFill/>
                    <a:ln>
                      <a:noFill/>
                    </a:ln>
                  </pic:spPr>
                </pic:pic>
              </a:graphicData>
            </a:graphic>
          </wp:inline>
        </w:drawing>
      </w:r>
    </w:p>
    <w:p w:rsidR="00510228" w:rsidRDefault="00510228" w:rsidP="00E53120">
      <w:pPr>
        <w:pStyle w:val="Akapitzlist"/>
        <w:numPr>
          <w:ilvl w:val="0"/>
          <w:numId w:val="36"/>
        </w:numPr>
        <w:rPr>
          <w:sz w:val="24"/>
          <w:szCs w:val="24"/>
        </w:rPr>
      </w:pPr>
      <w:r>
        <w:rPr>
          <w:sz w:val="24"/>
          <w:szCs w:val="24"/>
        </w:rPr>
        <w:t>Po wypłacie wszystkich transzach system w zamknięciu pożyczkę jak wypłacona w całości „Tak” . Funkcjonalność jest pomocna w sytuacji gdy zostanie skasowana ostatnia transza pożyczki bez wypłaty.</w:t>
      </w:r>
      <w:bookmarkStart w:id="0" w:name="_GoBack"/>
      <w:bookmarkEnd w:id="0"/>
    </w:p>
    <w:p w:rsidR="00510228" w:rsidRDefault="00510228" w:rsidP="00510228">
      <w:pPr>
        <w:pStyle w:val="Akapitzlist"/>
        <w:ind w:left="1440"/>
        <w:rPr>
          <w:sz w:val="24"/>
          <w:szCs w:val="24"/>
        </w:rPr>
      </w:pPr>
    </w:p>
    <w:p w:rsidR="00030277" w:rsidRDefault="00030277" w:rsidP="00E53120">
      <w:pPr>
        <w:pStyle w:val="Akapitzlist"/>
        <w:numPr>
          <w:ilvl w:val="0"/>
          <w:numId w:val="36"/>
        </w:numPr>
        <w:rPr>
          <w:sz w:val="24"/>
          <w:szCs w:val="24"/>
        </w:rPr>
      </w:pPr>
      <w:r>
        <w:rPr>
          <w:sz w:val="24"/>
          <w:szCs w:val="24"/>
        </w:rPr>
        <w:t xml:space="preserve">W systemie podczas tworzenia nowej umowy wyliczany jest IRR/NPV umowy dodatkowo do wyliczonej umowy dopisywany jest terminarz na podstawie którego wyliczono IRR. Zmiana ma na celu prostsze przygotowywanie dokumentów do audytu. </w:t>
      </w:r>
    </w:p>
    <w:p w:rsidR="00030277" w:rsidRDefault="00030277" w:rsidP="00030277">
      <w:pPr>
        <w:pStyle w:val="Akapitzlist"/>
        <w:ind w:left="1440"/>
        <w:rPr>
          <w:sz w:val="24"/>
          <w:szCs w:val="24"/>
        </w:rPr>
      </w:pPr>
    </w:p>
    <w:p w:rsidR="00324B49" w:rsidRDefault="00324B49" w:rsidP="00E53120">
      <w:pPr>
        <w:pStyle w:val="Akapitzlist"/>
        <w:numPr>
          <w:ilvl w:val="0"/>
          <w:numId w:val="36"/>
        </w:numPr>
        <w:rPr>
          <w:sz w:val="24"/>
          <w:szCs w:val="24"/>
        </w:rPr>
      </w:pPr>
      <w:r>
        <w:rPr>
          <w:sz w:val="24"/>
          <w:szCs w:val="24"/>
        </w:rPr>
        <w:t>Dodano możliwość skonfigurowania raportu wypłat i umieszczenia w nim numeru FK</w:t>
      </w:r>
    </w:p>
    <w:p w:rsidR="00324B49" w:rsidRPr="00324B49" w:rsidRDefault="00324B49" w:rsidP="00324B49">
      <w:pPr>
        <w:pStyle w:val="Akapitzlist"/>
        <w:rPr>
          <w:sz w:val="24"/>
          <w:szCs w:val="24"/>
        </w:rPr>
      </w:pPr>
    </w:p>
    <w:p w:rsidR="00324B49" w:rsidRDefault="00324B49" w:rsidP="00E53120">
      <w:pPr>
        <w:pStyle w:val="Akapitzlist"/>
        <w:numPr>
          <w:ilvl w:val="0"/>
          <w:numId w:val="36"/>
        </w:numPr>
        <w:rPr>
          <w:sz w:val="24"/>
          <w:szCs w:val="24"/>
        </w:rPr>
      </w:pPr>
      <w:r>
        <w:rPr>
          <w:sz w:val="24"/>
          <w:szCs w:val="24"/>
        </w:rPr>
        <w:t>Po otwarciu ekranu wydruk faktury FK system domyślnie ustawia sposób zapłaty „Przelew”. W poprzednich wersjach system nie ustawiał domyślnego sposobu zapłaty.</w:t>
      </w:r>
    </w:p>
    <w:p w:rsidR="00324B49" w:rsidRPr="00324B49" w:rsidRDefault="00324B49" w:rsidP="00324B49">
      <w:pPr>
        <w:pStyle w:val="Akapitzlist"/>
        <w:rPr>
          <w:sz w:val="24"/>
          <w:szCs w:val="24"/>
        </w:rPr>
      </w:pPr>
    </w:p>
    <w:p w:rsidR="00811571" w:rsidRDefault="00811571" w:rsidP="00E53120">
      <w:pPr>
        <w:pStyle w:val="Akapitzlist"/>
        <w:numPr>
          <w:ilvl w:val="0"/>
          <w:numId w:val="36"/>
        </w:numPr>
        <w:rPr>
          <w:sz w:val="24"/>
          <w:szCs w:val="24"/>
        </w:rPr>
      </w:pPr>
      <w:r>
        <w:rPr>
          <w:sz w:val="24"/>
          <w:szCs w:val="24"/>
        </w:rPr>
        <w:t>Rozbudowano funkcjonalność opcji zamknięcie dnia. Podczas zamknięcia dnia system ustawia dla pożyczek dla których nie ma transz do wypłaty „Wypłacona w całości” -&gt; Tak</w:t>
      </w:r>
    </w:p>
    <w:p w:rsidR="00811571" w:rsidRPr="00811571" w:rsidRDefault="00811571" w:rsidP="00811571">
      <w:pPr>
        <w:pStyle w:val="Akapitzlist"/>
        <w:rPr>
          <w:sz w:val="24"/>
          <w:szCs w:val="24"/>
        </w:rPr>
      </w:pPr>
    </w:p>
    <w:p w:rsidR="00C30CB3" w:rsidRDefault="00C30CB3" w:rsidP="00E53120">
      <w:pPr>
        <w:pStyle w:val="Akapitzlist"/>
        <w:numPr>
          <w:ilvl w:val="0"/>
          <w:numId w:val="36"/>
        </w:numPr>
        <w:rPr>
          <w:sz w:val="24"/>
          <w:szCs w:val="24"/>
        </w:rPr>
      </w:pPr>
      <w:r>
        <w:rPr>
          <w:sz w:val="24"/>
          <w:szCs w:val="24"/>
        </w:rPr>
        <w:t>Umożliwiono konfiguracje wyglądu ekranu „Umowy do wypłaty”</w:t>
      </w:r>
    </w:p>
    <w:p w:rsidR="00C30CB3" w:rsidRPr="00C30CB3" w:rsidRDefault="00C30CB3" w:rsidP="00C30CB3">
      <w:pPr>
        <w:pStyle w:val="Akapitzlist"/>
        <w:rPr>
          <w:sz w:val="24"/>
          <w:szCs w:val="24"/>
        </w:rPr>
      </w:pPr>
    </w:p>
    <w:p w:rsidR="00C30CB3" w:rsidRDefault="00C30CB3" w:rsidP="00C30CB3">
      <w:pPr>
        <w:pStyle w:val="Akapitzlist"/>
        <w:ind w:left="-284"/>
        <w:jc w:val="center"/>
        <w:rPr>
          <w:sz w:val="24"/>
          <w:szCs w:val="24"/>
        </w:rPr>
      </w:pPr>
      <w:r>
        <w:rPr>
          <w:noProof/>
          <w:lang w:eastAsia="pl-PL"/>
        </w:rPr>
        <w:lastRenderedPageBreak/>
        <w:drawing>
          <wp:inline distT="0" distB="0" distL="0" distR="0" wp14:anchorId="510843B8" wp14:editId="29863CBE">
            <wp:extent cx="4605684" cy="2743200"/>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07711" cy="2744408"/>
                    </a:xfrm>
                    <a:prstGeom prst="rect">
                      <a:avLst/>
                    </a:prstGeom>
                  </pic:spPr>
                </pic:pic>
              </a:graphicData>
            </a:graphic>
          </wp:inline>
        </w:drawing>
      </w:r>
    </w:p>
    <w:p w:rsidR="00C30CB3" w:rsidRPr="00C30CB3" w:rsidRDefault="00C30CB3" w:rsidP="00C30CB3">
      <w:pPr>
        <w:pStyle w:val="Akapitzlist"/>
        <w:rPr>
          <w:sz w:val="24"/>
          <w:szCs w:val="24"/>
        </w:rPr>
      </w:pPr>
    </w:p>
    <w:p w:rsidR="002C04CA" w:rsidRPr="00E53120" w:rsidRDefault="00E53120" w:rsidP="00E53120">
      <w:pPr>
        <w:pStyle w:val="Akapitzlist"/>
        <w:numPr>
          <w:ilvl w:val="0"/>
          <w:numId w:val="36"/>
        </w:numPr>
        <w:rPr>
          <w:sz w:val="24"/>
          <w:szCs w:val="24"/>
        </w:rPr>
      </w:pPr>
      <w:r w:rsidRPr="00E53120">
        <w:rPr>
          <w:sz w:val="24"/>
          <w:szCs w:val="24"/>
        </w:rPr>
        <w:t xml:space="preserve">Rozbudowano algorytm liczenia pomocy publicznej według ustawy  o możliwość wyliczenia pomocy publicznej dla Annuitetu. W pomocy programu PBaza </w:t>
      </w:r>
      <w:hyperlink r:id="rId10" w:history="1">
        <w:r w:rsidRPr="00E53120">
          <w:rPr>
            <w:rStyle w:val="Hipercze"/>
            <w:sz w:val="24"/>
            <w:szCs w:val="24"/>
          </w:rPr>
          <w:t>www.cuz.com.pl/pomoc/Pomoc.php</w:t>
        </w:r>
      </w:hyperlink>
      <w:r w:rsidRPr="00E53120">
        <w:rPr>
          <w:sz w:val="24"/>
          <w:szCs w:val="24"/>
        </w:rPr>
        <w:t xml:space="preserve"> umieszczono nowy excel wyliczający pomoc publiczną w oparciu o wzory z ustawy. Pomoc jest wyliczana dla  dwóch przypadków</w:t>
      </w:r>
    </w:p>
    <w:p w:rsidR="00E53120" w:rsidRPr="00E53120" w:rsidRDefault="00E53120" w:rsidP="00E53120">
      <w:pPr>
        <w:pStyle w:val="Akapitzlist"/>
        <w:numPr>
          <w:ilvl w:val="0"/>
          <w:numId w:val="37"/>
        </w:numPr>
        <w:rPr>
          <w:sz w:val="24"/>
          <w:szCs w:val="24"/>
        </w:rPr>
      </w:pPr>
      <w:r w:rsidRPr="00E53120">
        <w:rPr>
          <w:sz w:val="24"/>
          <w:szCs w:val="24"/>
        </w:rPr>
        <w:t>Równe raty kapitałowe</w:t>
      </w:r>
    </w:p>
    <w:p w:rsidR="00E53120" w:rsidRPr="00E53120" w:rsidRDefault="00E53120" w:rsidP="00E53120">
      <w:pPr>
        <w:pStyle w:val="Akapitzlist"/>
        <w:numPr>
          <w:ilvl w:val="0"/>
          <w:numId w:val="37"/>
        </w:numPr>
        <w:rPr>
          <w:sz w:val="24"/>
          <w:szCs w:val="24"/>
        </w:rPr>
      </w:pPr>
      <w:r w:rsidRPr="00E53120">
        <w:rPr>
          <w:sz w:val="24"/>
          <w:szCs w:val="24"/>
        </w:rPr>
        <w:t>Annuitet</w:t>
      </w:r>
    </w:p>
    <w:p w:rsidR="00E53120" w:rsidRPr="00E53120" w:rsidRDefault="00E53120" w:rsidP="00E53120">
      <w:pPr>
        <w:pStyle w:val="Akapitzlist"/>
        <w:ind w:left="1440"/>
        <w:rPr>
          <w:sz w:val="32"/>
          <w:szCs w:val="32"/>
        </w:rPr>
      </w:pPr>
    </w:p>
    <w:p w:rsidR="004B420D" w:rsidRPr="00752CE5" w:rsidRDefault="004B420D" w:rsidP="004B420D">
      <w:pPr>
        <w:pStyle w:val="Akapitzlist"/>
        <w:jc w:val="center"/>
        <w:rPr>
          <w:b/>
          <w:color w:val="FF0000"/>
          <w:sz w:val="32"/>
          <w:szCs w:val="32"/>
        </w:rPr>
      </w:pPr>
    </w:p>
    <w:p w:rsidR="004B1AA1" w:rsidRPr="00862CC2" w:rsidRDefault="004B1AA1" w:rsidP="004B1AA1">
      <w:pPr>
        <w:pStyle w:val="Akapitzlist"/>
        <w:rPr>
          <w:b/>
        </w:rPr>
      </w:pPr>
      <w:r w:rsidRPr="00862CC2">
        <w:rPr>
          <w:b/>
        </w:rPr>
        <w:t>Informacja do instalacji wersji</w:t>
      </w:r>
    </w:p>
    <w:p w:rsidR="004B1AA1" w:rsidRDefault="004B1AA1" w:rsidP="004B1AA1">
      <w:pPr>
        <w:pStyle w:val="Akapitzlist"/>
      </w:pPr>
    </w:p>
    <w:p w:rsidR="004B1AA1" w:rsidRDefault="004B1AA1" w:rsidP="004B1AA1">
      <w:pPr>
        <w:pStyle w:val="Akapitzlist"/>
      </w:pPr>
      <w:r>
        <w:t>1.</w:t>
      </w:r>
      <w:r>
        <w:tab/>
        <w:t>Wykonać kopię bazy !</w:t>
      </w:r>
    </w:p>
    <w:p w:rsidR="004B1AA1" w:rsidRDefault="004B1AA1" w:rsidP="004B1AA1">
      <w:pPr>
        <w:pStyle w:val="Akapitzlist"/>
      </w:pPr>
      <w:r>
        <w:t>2.</w:t>
      </w:r>
      <w:r>
        <w:tab/>
        <w:t>Zamienić plik pbaza.exe na aktualny</w:t>
      </w:r>
    </w:p>
    <w:p w:rsidR="004B1AA1" w:rsidRDefault="004B1AA1" w:rsidP="004B1AA1">
      <w:pPr>
        <w:pStyle w:val="Akapitzlist"/>
      </w:pPr>
      <w:r>
        <w:t>3.</w:t>
      </w:r>
      <w:r>
        <w:tab/>
        <w:t>Wykonać instalacje bazy danych opcja Baza-&gt;Instalacja wersji</w:t>
      </w:r>
    </w:p>
    <w:p w:rsidR="004B1AA1" w:rsidRDefault="004B1AA1" w:rsidP="004B1AA1">
      <w:pPr>
        <w:pStyle w:val="Akapitzlist"/>
      </w:pPr>
    </w:p>
    <w:p w:rsidR="004B1AA1" w:rsidRDefault="004B1AA1" w:rsidP="004B1AA1">
      <w:pPr>
        <w:pStyle w:val="Akapitzlist"/>
      </w:pPr>
    </w:p>
    <w:p w:rsidR="004B1AA1" w:rsidRPr="00385235" w:rsidRDefault="004B1AA1" w:rsidP="003767D9">
      <w:pPr>
        <w:pStyle w:val="Akapitzlist"/>
      </w:pPr>
    </w:p>
    <w:sectPr w:rsidR="004B1AA1" w:rsidRPr="003852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13" w:rsidRDefault="00E70213" w:rsidP="004825D0">
      <w:pPr>
        <w:spacing w:after="0" w:line="240" w:lineRule="auto"/>
      </w:pPr>
      <w:r>
        <w:separator/>
      </w:r>
    </w:p>
  </w:endnote>
  <w:endnote w:type="continuationSeparator" w:id="0">
    <w:p w:rsidR="00E70213" w:rsidRDefault="00E70213" w:rsidP="0048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13" w:rsidRDefault="00E70213" w:rsidP="004825D0">
      <w:pPr>
        <w:spacing w:after="0" w:line="240" w:lineRule="auto"/>
      </w:pPr>
      <w:r>
        <w:separator/>
      </w:r>
    </w:p>
  </w:footnote>
  <w:footnote w:type="continuationSeparator" w:id="0">
    <w:p w:rsidR="00E70213" w:rsidRDefault="00E70213" w:rsidP="00482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96B"/>
    <w:multiLevelType w:val="hybridMultilevel"/>
    <w:tmpl w:val="858CD0B8"/>
    <w:lvl w:ilvl="0" w:tplc="AB72BDA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07864399"/>
    <w:multiLevelType w:val="hybridMultilevel"/>
    <w:tmpl w:val="0902E9E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nsid w:val="07D9404F"/>
    <w:multiLevelType w:val="hybridMultilevel"/>
    <w:tmpl w:val="9D44D7AC"/>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
    <w:nsid w:val="0E1F679F"/>
    <w:multiLevelType w:val="hybridMultilevel"/>
    <w:tmpl w:val="1FC4E556"/>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
    <w:nsid w:val="0F9A2BCC"/>
    <w:multiLevelType w:val="hybridMultilevel"/>
    <w:tmpl w:val="FB8E1E7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173877E0"/>
    <w:multiLevelType w:val="hybridMultilevel"/>
    <w:tmpl w:val="1842E5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2461228"/>
    <w:multiLevelType w:val="hybridMultilevel"/>
    <w:tmpl w:val="93B2C0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2C06220"/>
    <w:multiLevelType w:val="hybridMultilevel"/>
    <w:tmpl w:val="61C669B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2304779D"/>
    <w:multiLevelType w:val="hybridMultilevel"/>
    <w:tmpl w:val="0332D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1371AB"/>
    <w:multiLevelType w:val="hybridMultilevel"/>
    <w:tmpl w:val="0F766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310D0B"/>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nsid w:val="2A7A3580"/>
    <w:multiLevelType w:val="hybridMultilevel"/>
    <w:tmpl w:val="25B051E8"/>
    <w:lvl w:ilvl="0" w:tplc="A2FE7E5C">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B74E6"/>
    <w:multiLevelType w:val="hybridMultilevel"/>
    <w:tmpl w:val="9B848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CC727D"/>
    <w:multiLevelType w:val="hybridMultilevel"/>
    <w:tmpl w:val="0E0EA8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3840280"/>
    <w:multiLevelType w:val="hybridMultilevel"/>
    <w:tmpl w:val="326A6C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7F44349"/>
    <w:multiLevelType w:val="hybridMultilevel"/>
    <w:tmpl w:val="2096654E"/>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8264622"/>
    <w:multiLevelType w:val="hybridMultilevel"/>
    <w:tmpl w:val="0BEE26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0D3219"/>
    <w:multiLevelType w:val="hybridMultilevel"/>
    <w:tmpl w:val="579693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3CBD7026"/>
    <w:multiLevelType w:val="hybridMultilevel"/>
    <w:tmpl w:val="507C10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DD96163"/>
    <w:multiLevelType w:val="hybridMultilevel"/>
    <w:tmpl w:val="AC861DB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3F556A64"/>
    <w:multiLevelType w:val="hybridMultilevel"/>
    <w:tmpl w:val="E9DAF720"/>
    <w:lvl w:ilvl="0" w:tplc="A0708DCA">
      <w:start w:val="1"/>
      <w:numFmt w:val="lowerLetter"/>
      <w:lvlText w:val="%1)"/>
      <w:lvlJc w:val="left"/>
      <w:pPr>
        <w:ind w:left="1430" w:hanging="360"/>
      </w:pPr>
      <w:rPr>
        <w:rFonts w:hint="default"/>
        <w:sz w:val="22"/>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1">
    <w:nsid w:val="40664AFD"/>
    <w:multiLevelType w:val="hybridMultilevel"/>
    <w:tmpl w:val="3ACCF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09469B"/>
    <w:multiLevelType w:val="hybridMultilevel"/>
    <w:tmpl w:val="0A04A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E85AAE"/>
    <w:multiLevelType w:val="hybridMultilevel"/>
    <w:tmpl w:val="FAC061D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53E36ED7"/>
    <w:multiLevelType w:val="hybridMultilevel"/>
    <w:tmpl w:val="07ACCC7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5">
    <w:nsid w:val="5D3F00DC"/>
    <w:multiLevelType w:val="hybridMultilevel"/>
    <w:tmpl w:val="CF5EED5C"/>
    <w:lvl w:ilvl="0" w:tplc="E03875C0">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F337E1"/>
    <w:multiLevelType w:val="hybridMultilevel"/>
    <w:tmpl w:val="F028BE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0E17589"/>
    <w:multiLevelType w:val="hybridMultilevel"/>
    <w:tmpl w:val="1CAE8E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52170E2"/>
    <w:multiLevelType w:val="hybridMultilevel"/>
    <w:tmpl w:val="CD26B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512892"/>
    <w:multiLevelType w:val="hybridMultilevel"/>
    <w:tmpl w:val="631A5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810D5A"/>
    <w:multiLevelType w:val="hybridMultilevel"/>
    <w:tmpl w:val="93324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E921E1"/>
    <w:multiLevelType w:val="hybridMultilevel"/>
    <w:tmpl w:val="EDA466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84F6EA4"/>
    <w:multiLevelType w:val="hybridMultilevel"/>
    <w:tmpl w:val="92FAF85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68F37BD7"/>
    <w:multiLevelType w:val="hybridMultilevel"/>
    <w:tmpl w:val="8AB4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503A90"/>
    <w:multiLevelType w:val="multilevel"/>
    <w:tmpl w:val="0415001D"/>
    <w:lvl w:ilvl="0">
      <w:start w:val="1"/>
      <w:numFmt w:val="decimal"/>
      <w:lvlText w:val="%1)"/>
      <w:lvlJc w:val="left"/>
      <w:pPr>
        <w:ind w:left="1428" w:hanging="360"/>
      </w:p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35">
    <w:nsid w:val="71867868"/>
    <w:multiLevelType w:val="hybridMultilevel"/>
    <w:tmpl w:val="10DC2BC0"/>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6">
    <w:nsid w:val="77DD3333"/>
    <w:multiLevelType w:val="hybridMultilevel"/>
    <w:tmpl w:val="F2F2AD32"/>
    <w:lvl w:ilvl="0" w:tplc="DE260292">
      <w:start w:val="1"/>
      <w:numFmt w:val="decimal"/>
      <w:lvlText w:val="%1."/>
      <w:lvlJc w:val="left"/>
      <w:pPr>
        <w:ind w:left="107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10"/>
  </w:num>
  <w:num w:numId="3">
    <w:abstractNumId w:val="34"/>
  </w:num>
  <w:num w:numId="4">
    <w:abstractNumId w:val="21"/>
  </w:num>
  <w:num w:numId="5">
    <w:abstractNumId w:val="27"/>
  </w:num>
  <w:num w:numId="6">
    <w:abstractNumId w:val="9"/>
  </w:num>
  <w:num w:numId="7">
    <w:abstractNumId w:val="31"/>
  </w:num>
  <w:num w:numId="8">
    <w:abstractNumId w:val="14"/>
  </w:num>
  <w:num w:numId="9">
    <w:abstractNumId w:val="4"/>
  </w:num>
  <w:num w:numId="10">
    <w:abstractNumId w:val="12"/>
  </w:num>
  <w:num w:numId="11">
    <w:abstractNumId w:val="36"/>
  </w:num>
  <w:num w:numId="12">
    <w:abstractNumId w:val="32"/>
  </w:num>
  <w:num w:numId="13">
    <w:abstractNumId w:val="23"/>
  </w:num>
  <w:num w:numId="14">
    <w:abstractNumId w:val="7"/>
  </w:num>
  <w:num w:numId="15">
    <w:abstractNumId w:val="17"/>
  </w:num>
  <w:num w:numId="16">
    <w:abstractNumId w:val="28"/>
  </w:num>
  <w:num w:numId="17">
    <w:abstractNumId w:val="5"/>
  </w:num>
  <w:num w:numId="18">
    <w:abstractNumId w:val="19"/>
  </w:num>
  <w:num w:numId="19">
    <w:abstractNumId w:val="29"/>
  </w:num>
  <w:num w:numId="20">
    <w:abstractNumId w:val="15"/>
  </w:num>
  <w:num w:numId="21">
    <w:abstractNumId w:val="35"/>
  </w:num>
  <w:num w:numId="22">
    <w:abstractNumId w:val="11"/>
  </w:num>
  <w:num w:numId="23">
    <w:abstractNumId w:val="20"/>
  </w:num>
  <w:num w:numId="24">
    <w:abstractNumId w:val="2"/>
  </w:num>
  <w:num w:numId="25">
    <w:abstractNumId w:val="3"/>
  </w:num>
  <w:num w:numId="26">
    <w:abstractNumId w:val="24"/>
  </w:num>
  <w:num w:numId="27">
    <w:abstractNumId w:val="33"/>
  </w:num>
  <w:num w:numId="28">
    <w:abstractNumId w:val="13"/>
  </w:num>
  <w:num w:numId="29">
    <w:abstractNumId w:val="6"/>
  </w:num>
  <w:num w:numId="30">
    <w:abstractNumId w:val="0"/>
  </w:num>
  <w:num w:numId="31">
    <w:abstractNumId w:val="18"/>
  </w:num>
  <w:num w:numId="32">
    <w:abstractNumId w:val="30"/>
  </w:num>
  <w:num w:numId="33">
    <w:abstractNumId w:val="16"/>
  </w:num>
  <w:num w:numId="34">
    <w:abstractNumId w:val="25"/>
  </w:num>
  <w:num w:numId="35">
    <w:abstractNumId w:val="8"/>
  </w:num>
  <w:num w:numId="36">
    <w:abstractNumId w:val="2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D0"/>
    <w:rsid w:val="00021675"/>
    <w:rsid w:val="00030277"/>
    <w:rsid w:val="00030BB8"/>
    <w:rsid w:val="00037565"/>
    <w:rsid w:val="000B231B"/>
    <w:rsid w:val="000C586C"/>
    <w:rsid w:val="000D112E"/>
    <w:rsid w:val="000F1714"/>
    <w:rsid w:val="00110799"/>
    <w:rsid w:val="00166866"/>
    <w:rsid w:val="00180CD0"/>
    <w:rsid w:val="001873AC"/>
    <w:rsid w:val="001D5B6B"/>
    <w:rsid w:val="00202208"/>
    <w:rsid w:val="002145F7"/>
    <w:rsid w:val="0022452C"/>
    <w:rsid w:val="002314EA"/>
    <w:rsid w:val="0024450E"/>
    <w:rsid w:val="00245292"/>
    <w:rsid w:val="00270933"/>
    <w:rsid w:val="00276068"/>
    <w:rsid w:val="0029123F"/>
    <w:rsid w:val="00296013"/>
    <w:rsid w:val="002A5FDC"/>
    <w:rsid w:val="002C04CA"/>
    <w:rsid w:val="002C6DAF"/>
    <w:rsid w:val="00324B49"/>
    <w:rsid w:val="0037394F"/>
    <w:rsid w:val="003767D9"/>
    <w:rsid w:val="00385235"/>
    <w:rsid w:val="00385793"/>
    <w:rsid w:val="00396D86"/>
    <w:rsid w:val="003B04E7"/>
    <w:rsid w:val="003D09E4"/>
    <w:rsid w:val="00440253"/>
    <w:rsid w:val="00465FF8"/>
    <w:rsid w:val="004825D0"/>
    <w:rsid w:val="00497F62"/>
    <w:rsid w:val="004A2E8F"/>
    <w:rsid w:val="004B1AA1"/>
    <w:rsid w:val="004B420D"/>
    <w:rsid w:val="004C7B96"/>
    <w:rsid w:val="004C7F47"/>
    <w:rsid w:val="004E0266"/>
    <w:rsid w:val="0050331E"/>
    <w:rsid w:val="00510228"/>
    <w:rsid w:val="00511268"/>
    <w:rsid w:val="005146F6"/>
    <w:rsid w:val="00536975"/>
    <w:rsid w:val="00591723"/>
    <w:rsid w:val="0059179F"/>
    <w:rsid w:val="00596406"/>
    <w:rsid w:val="005B2A20"/>
    <w:rsid w:val="005B4EBB"/>
    <w:rsid w:val="005C6E14"/>
    <w:rsid w:val="00603FA6"/>
    <w:rsid w:val="00610923"/>
    <w:rsid w:val="0064755F"/>
    <w:rsid w:val="0067482B"/>
    <w:rsid w:val="006B353D"/>
    <w:rsid w:val="006D362C"/>
    <w:rsid w:val="006D41A5"/>
    <w:rsid w:val="006D6662"/>
    <w:rsid w:val="006E3123"/>
    <w:rsid w:val="006E7416"/>
    <w:rsid w:val="00706F70"/>
    <w:rsid w:val="007356A8"/>
    <w:rsid w:val="00752CE5"/>
    <w:rsid w:val="00780D6D"/>
    <w:rsid w:val="007836A8"/>
    <w:rsid w:val="00792018"/>
    <w:rsid w:val="00811571"/>
    <w:rsid w:val="00822413"/>
    <w:rsid w:val="0084555C"/>
    <w:rsid w:val="00862CC2"/>
    <w:rsid w:val="00870CFA"/>
    <w:rsid w:val="008D739F"/>
    <w:rsid w:val="008E3C21"/>
    <w:rsid w:val="008F3611"/>
    <w:rsid w:val="00941E55"/>
    <w:rsid w:val="00984AFE"/>
    <w:rsid w:val="009B4B03"/>
    <w:rsid w:val="00A33C8B"/>
    <w:rsid w:val="00A57056"/>
    <w:rsid w:val="00A6168B"/>
    <w:rsid w:val="00A664D1"/>
    <w:rsid w:val="00A66ED5"/>
    <w:rsid w:val="00A85671"/>
    <w:rsid w:val="00AB4917"/>
    <w:rsid w:val="00AC6E03"/>
    <w:rsid w:val="00AD76C2"/>
    <w:rsid w:val="00B0274D"/>
    <w:rsid w:val="00B23A05"/>
    <w:rsid w:val="00B274FC"/>
    <w:rsid w:val="00B34490"/>
    <w:rsid w:val="00B438FC"/>
    <w:rsid w:val="00B50919"/>
    <w:rsid w:val="00B511B8"/>
    <w:rsid w:val="00B535DD"/>
    <w:rsid w:val="00B56D8D"/>
    <w:rsid w:val="00B71065"/>
    <w:rsid w:val="00B82A6F"/>
    <w:rsid w:val="00BA0D8F"/>
    <w:rsid w:val="00BA5A2B"/>
    <w:rsid w:val="00BB5D53"/>
    <w:rsid w:val="00BC3EAE"/>
    <w:rsid w:val="00BE4DF9"/>
    <w:rsid w:val="00C11288"/>
    <w:rsid w:val="00C256B7"/>
    <w:rsid w:val="00C30CB3"/>
    <w:rsid w:val="00C54801"/>
    <w:rsid w:val="00C71312"/>
    <w:rsid w:val="00C8497B"/>
    <w:rsid w:val="00CB62AB"/>
    <w:rsid w:val="00CD0094"/>
    <w:rsid w:val="00CD0BBB"/>
    <w:rsid w:val="00CD3054"/>
    <w:rsid w:val="00D319D6"/>
    <w:rsid w:val="00D8200B"/>
    <w:rsid w:val="00D8415F"/>
    <w:rsid w:val="00D92604"/>
    <w:rsid w:val="00DD55E1"/>
    <w:rsid w:val="00DD6C95"/>
    <w:rsid w:val="00DE7CD9"/>
    <w:rsid w:val="00E36A02"/>
    <w:rsid w:val="00E53120"/>
    <w:rsid w:val="00E64654"/>
    <w:rsid w:val="00E67C72"/>
    <w:rsid w:val="00E70213"/>
    <w:rsid w:val="00EC3A5B"/>
    <w:rsid w:val="00ED13AC"/>
    <w:rsid w:val="00F242DC"/>
    <w:rsid w:val="00F51084"/>
    <w:rsid w:val="00FB25FB"/>
    <w:rsid w:val="00FC4E19"/>
    <w:rsid w:val="00FF0F3B"/>
    <w:rsid w:val="00FF2F56"/>
    <w:rsid w:val="00FF7153"/>
    <w:rsid w:val="00FF7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7C72"/>
    <w:pPr>
      <w:ind w:left="720"/>
      <w:contextualSpacing/>
    </w:pPr>
  </w:style>
  <w:style w:type="paragraph" w:styleId="Zwykytekst">
    <w:name w:val="Plain Text"/>
    <w:basedOn w:val="Normalny"/>
    <w:link w:val="ZwykytekstZnak"/>
    <w:uiPriority w:val="99"/>
    <w:semiHidden/>
    <w:unhideWhenUsed/>
    <w:rsid w:val="00FF74AF"/>
    <w:pPr>
      <w:spacing w:after="0" w:line="240" w:lineRule="auto"/>
    </w:pPr>
    <w:rPr>
      <w:rFonts w:ascii="Calibri" w:hAnsi="Calibri" w:cs="Times New Roman"/>
      <w:color w:val="663300"/>
      <w:sz w:val="24"/>
      <w:szCs w:val="21"/>
    </w:rPr>
  </w:style>
  <w:style w:type="character" w:customStyle="1" w:styleId="ZwykytekstZnak">
    <w:name w:val="Zwykły tekst Znak"/>
    <w:basedOn w:val="Domylnaczcionkaakapitu"/>
    <w:link w:val="Zwykytekst"/>
    <w:uiPriority w:val="99"/>
    <w:semiHidden/>
    <w:rsid w:val="00FF74AF"/>
    <w:rPr>
      <w:rFonts w:ascii="Calibri" w:hAnsi="Calibri" w:cs="Times New Roman"/>
      <w:color w:val="663300"/>
      <w:sz w:val="24"/>
      <w:szCs w:val="21"/>
    </w:rPr>
  </w:style>
  <w:style w:type="paragraph" w:styleId="Tekstdymka">
    <w:name w:val="Balloon Text"/>
    <w:basedOn w:val="Normalny"/>
    <w:link w:val="TekstdymkaZnak"/>
    <w:uiPriority w:val="99"/>
    <w:semiHidden/>
    <w:unhideWhenUsed/>
    <w:rsid w:val="00ED13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3AC"/>
    <w:rPr>
      <w:rFonts w:ascii="Tahoma" w:hAnsi="Tahoma" w:cs="Tahoma"/>
      <w:sz w:val="16"/>
      <w:szCs w:val="16"/>
    </w:rPr>
  </w:style>
  <w:style w:type="paragraph" w:styleId="Tekstprzypisukocowego">
    <w:name w:val="endnote text"/>
    <w:basedOn w:val="Normalny"/>
    <w:link w:val="TekstprzypisukocowegoZnak"/>
    <w:uiPriority w:val="99"/>
    <w:semiHidden/>
    <w:unhideWhenUsed/>
    <w:rsid w:val="004825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25D0"/>
    <w:rPr>
      <w:sz w:val="20"/>
      <w:szCs w:val="20"/>
    </w:rPr>
  </w:style>
  <w:style w:type="character" w:styleId="Odwoanieprzypisukocowego">
    <w:name w:val="endnote reference"/>
    <w:basedOn w:val="Domylnaczcionkaakapitu"/>
    <w:uiPriority w:val="99"/>
    <w:semiHidden/>
    <w:unhideWhenUsed/>
    <w:rsid w:val="004825D0"/>
    <w:rPr>
      <w:vertAlign w:val="superscript"/>
    </w:rPr>
  </w:style>
  <w:style w:type="table" w:styleId="Tabela-Siatka">
    <w:name w:val="Table Grid"/>
    <w:basedOn w:val="Standardowy"/>
    <w:uiPriority w:val="59"/>
    <w:rsid w:val="00037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E53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7C72"/>
    <w:pPr>
      <w:ind w:left="720"/>
      <w:contextualSpacing/>
    </w:pPr>
  </w:style>
  <w:style w:type="paragraph" w:styleId="Zwykytekst">
    <w:name w:val="Plain Text"/>
    <w:basedOn w:val="Normalny"/>
    <w:link w:val="ZwykytekstZnak"/>
    <w:uiPriority w:val="99"/>
    <w:semiHidden/>
    <w:unhideWhenUsed/>
    <w:rsid w:val="00FF74AF"/>
    <w:pPr>
      <w:spacing w:after="0" w:line="240" w:lineRule="auto"/>
    </w:pPr>
    <w:rPr>
      <w:rFonts w:ascii="Calibri" w:hAnsi="Calibri" w:cs="Times New Roman"/>
      <w:color w:val="663300"/>
      <w:sz w:val="24"/>
      <w:szCs w:val="21"/>
    </w:rPr>
  </w:style>
  <w:style w:type="character" w:customStyle="1" w:styleId="ZwykytekstZnak">
    <w:name w:val="Zwykły tekst Znak"/>
    <w:basedOn w:val="Domylnaczcionkaakapitu"/>
    <w:link w:val="Zwykytekst"/>
    <w:uiPriority w:val="99"/>
    <w:semiHidden/>
    <w:rsid w:val="00FF74AF"/>
    <w:rPr>
      <w:rFonts w:ascii="Calibri" w:hAnsi="Calibri" w:cs="Times New Roman"/>
      <w:color w:val="663300"/>
      <w:sz w:val="24"/>
      <w:szCs w:val="21"/>
    </w:rPr>
  </w:style>
  <w:style w:type="paragraph" w:styleId="Tekstdymka">
    <w:name w:val="Balloon Text"/>
    <w:basedOn w:val="Normalny"/>
    <w:link w:val="TekstdymkaZnak"/>
    <w:uiPriority w:val="99"/>
    <w:semiHidden/>
    <w:unhideWhenUsed/>
    <w:rsid w:val="00ED13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3AC"/>
    <w:rPr>
      <w:rFonts w:ascii="Tahoma" w:hAnsi="Tahoma" w:cs="Tahoma"/>
      <w:sz w:val="16"/>
      <w:szCs w:val="16"/>
    </w:rPr>
  </w:style>
  <w:style w:type="paragraph" w:styleId="Tekstprzypisukocowego">
    <w:name w:val="endnote text"/>
    <w:basedOn w:val="Normalny"/>
    <w:link w:val="TekstprzypisukocowegoZnak"/>
    <w:uiPriority w:val="99"/>
    <w:semiHidden/>
    <w:unhideWhenUsed/>
    <w:rsid w:val="004825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25D0"/>
    <w:rPr>
      <w:sz w:val="20"/>
      <w:szCs w:val="20"/>
    </w:rPr>
  </w:style>
  <w:style w:type="character" w:styleId="Odwoanieprzypisukocowego">
    <w:name w:val="endnote reference"/>
    <w:basedOn w:val="Domylnaczcionkaakapitu"/>
    <w:uiPriority w:val="99"/>
    <w:semiHidden/>
    <w:unhideWhenUsed/>
    <w:rsid w:val="004825D0"/>
    <w:rPr>
      <w:vertAlign w:val="superscript"/>
    </w:rPr>
  </w:style>
  <w:style w:type="table" w:styleId="Tabela-Siatka">
    <w:name w:val="Table Grid"/>
    <w:basedOn w:val="Standardowy"/>
    <w:uiPriority w:val="59"/>
    <w:rsid w:val="00037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E53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uz.com.pl/pomoc/Pomoc.ph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253</Words>
  <Characters>1521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KONRAD_17</cp:lastModifiedBy>
  <cp:revision>11</cp:revision>
  <dcterms:created xsi:type="dcterms:W3CDTF">2013-11-27T09:32:00Z</dcterms:created>
  <dcterms:modified xsi:type="dcterms:W3CDTF">2014-01-03T19:33:00Z</dcterms:modified>
</cp:coreProperties>
</file>